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3GPP TSG-RAN WG3</w:t>
      </w:r>
      <w:r w:rsidR="00C92359" w:rsidRPr="00C92359">
        <w:rPr>
          <w:rFonts w:eastAsia="MS Mincho"/>
          <w:b/>
          <w:sz w:val="24"/>
          <w:szCs w:val="24"/>
          <w:lang w:val="en-GB" w:eastAsia="x-none"/>
        </w:rPr>
        <w:t xml:space="preserve"> Meeting #10</w:t>
      </w:r>
      <w:r>
        <w:rPr>
          <w:rFonts w:eastAsia="MS Mincho"/>
          <w:b/>
          <w:sz w:val="24"/>
          <w:szCs w:val="24"/>
          <w:lang w:val="en-GB" w:eastAsia="x-none"/>
        </w:rPr>
        <w:t>5</w:t>
      </w:r>
      <w:r w:rsidR="00C92359" w:rsidRPr="00C92359">
        <w:rPr>
          <w:rFonts w:eastAsia="MS Mincho"/>
          <w:b/>
          <w:sz w:val="24"/>
          <w:szCs w:val="24"/>
          <w:lang w:val="en-GB" w:eastAsia="x-none"/>
        </w:rPr>
        <w:tab/>
        <w:t>R</w:t>
      </w:r>
      <w:r>
        <w:rPr>
          <w:rFonts w:eastAsia="MS Mincho"/>
          <w:b/>
          <w:sz w:val="24"/>
          <w:szCs w:val="24"/>
          <w:lang w:val="en-GB" w:eastAsia="x-none"/>
        </w:rPr>
        <w:t>3</w:t>
      </w:r>
      <w:r w:rsidR="007B6F7C">
        <w:rPr>
          <w:rFonts w:eastAsia="MS Mincho"/>
          <w:b/>
          <w:sz w:val="24"/>
          <w:szCs w:val="24"/>
          <w:lang w:val="en-GB" w:eastAsia="x-none"/>
        </w:rPr>
        <w:t>-193801</w:t>
      </w:r>
    </w:p>
    <w:p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r w:rsidRPr="006A48D3">
        <w:rPr>
          <w:rFonts w:eastAsia="MS Mincho"/>
          <w:b/>
          <w:sz w:val="24"/>
          <w:szCs w:val="24"/>
          <w:lang w:val="en-GB" w:eastAsia="x-none"/>
        </w:rPr>
        <w:t>Ljubljana, Slovenia</w:t>
      </w:r>
      <w:r w:rsidR="00C92359" w:rsidRPr="00C92359">
        <w:rPr>
          <w:rFonts w:eastAsia="MS Mincho"/>
          <w:b/>
          <w:sz w:val="24"/>
          <w:szCs w:val="24"/>
          <w:lang w:val="en-GB" w:eastAsia="x-none"/>
        </w:rPr>
        <w:t>,</w:t>
      </w:r>
      <w:r w:rsidR="00C92359">
        <w:rPr>
          <w:rFonts w:eastAsia="MS Mincho"/>
          <w:b/>
          <w:sz w:val="24"/>
          <w:szCs w:val="24"/>
          <w:lang w:val="en-GB" w:eastAsia="x-none"/>
        </w:rPr>
        <w:t xml:space="preserve"> </w:t>
      </w:r>
      <w:r w:rsidR="00C92359" w:rsidRPr="00C92359">
        <w:rPr>
          <w:rFonts w:eastAsia="MS Mincho"/>
          <w:b/>
          <w:sz w:val="24"/>
          <w:szCs w:val="24"/>
          <w:lang w:val="en-GB" w:eastAsia="x-none"/>
        </w:rPr>
        <w:t>26th - 30th August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A48D3">
        <w:rPr>
          <w:b/>
          <w:sz w:val="24"/>
          <w:szCs w:val="24"/>
        </w:rPr>
        <w:t>13.2.1.1</w:t>
      </w:r>
      <w:bookmarkStart w:id="1" w:name="_GoBack"/>
      <w:bookmarkEnd w:id="1"/>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6A48D3" w:rsidRPr="006A48D3">
        <w:rPr>
          <w:b/>
          <w:sz w:val="24"/>
          <w:szCs w:val="24"/>
        </w:rPr>
        <w:t>IAB parent node selection</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3A2CF2" w:rsidRPr="003A2CF2" w:rsidRDefault="003A2CF2" w:rsidP="00F53ECE">
      <w:pPr>
        <w:spacing w:after="240"/>
        <w:rPr>
          <w:rFonts w:asciiTheme="minorHAnsi" w:hAnsiTheme="minorHAnsi"/>
          <w:lang w:val="en-GB"/>
        </w:rPr>
      </w:pPr>
      <w:r w:rsidRPr="003A2CF2">
        <w:rPr>
          <w:rFonts w:asciiTheme="minorHAnsi" w:hAnsiTheme="minorHAnsi"/>
          <w:lang w:val="en-GB"/>
        </w:rPr>
        <w:t>As part of the integration procedure the IAB node needs to select an appropriate parent. The following was captured in the meeting minutes of RAN3#103bis:</w:t>
      </w:r>
    </w:p>
    <w:p w:rsidR="003A2CF2" w:rsidRPr="00313AA4" w:rsidRDefault="003A2CF2" w:rsidP="003A2CF2">
      <w:pPr>
        <w:widowControl w:val="0"/>
        <w:pBdr>
          <w:top w:val="single" w:sz="4" w:space="1" w:color="auto"/>
          <w:left w:val="single" w:sz="4" w:space="4" w:color="auto"/>
          <w:bottom w:val="single" w:sz="4" w:space="1" w:color="auto"/>
          <w:right w:val="single" w:sz="4" w:space="4" w:color="auto"/>
        </w:pBdr>
        <w:spacing w:after="0"/>
        <w:rPr>
          <w:rFonts w:cs="Calibri"/>
          <w:b/>
          <w:color w:val="FF00FF"/>
          <w:sz w:val="18"/>
          <w:szCs w:val="24"/>
        </w:rPr>
      </w:pPr>
      <w:r w:rsidRPr="00313AA4">
        <w:rPr>
          <w:rFonts w:cs="Calibri"/>
          <w:b/>
          <w:color w:val="FF00FF"/>
          <w:sz w:val="18"/>
          <w:szCs w:val="24"/>
        </w:rPr>
        <w:t># 33_ParentNodeSel</w:t>
      </w:r>
    </w:p>
    <w:p w:rsidR="003A2CF2" w:rsidRPr="00313AA4" w:rsidRDefault="003A2CF2" w:rsidP="003A2CF2">
      <w:pPr>
        <w:widowControl w:val="0"/>
        <w:pBdr>
          <w:top w:val="single" w:sz="4" w:space="1" w:color="auto"/>
          <w:left w:val="single" w:sz="4" w:space="4" w:color="auto"/>
          <w:bottom w:val="single" w:sz="4" w:space="1" w:color="auto"/>
          <w:right w:val="single" w:sz="4" w:space="4" w:color="auto"/>
        </w:pBdr>
        <w:spacing w:after="0"/>
        <w:rPr>
          <w:rFonts w:cs="Calibri"/>
          <w:b/>
          <w:color w:val="FF00FF"/>
          <w:sz w:val="18"/>
          <w:szCs w:val="24"/>
        </w:rPr>
      </w:pPr>
      <w:r w:rsidRPr="00313AA4">
        <w:rPr>
          <w:rFonts w:cs="Calibri"/>
          <w:b/>
          <w:color w:val="FF00FF"/>
          <w:sz w:val="18"/>
          <w:szCs w:val="24"/>
        </w:rPr>
        <w:t>-  Selection of parent node: OAM vs. signaling vs. “learning from neighbors’ HO rejection” vs. OAM config of CU with list of IAB-capable cells?</w:t>
      </w:r>
    </w:p>
    <w:p w:rsidR="003A2CF2" w:rsidRPr="00313AA4" w:rsidRDefault="003A2CF2" w:rsidP="003A2CF2">
      <w:pPr>
        <w:widowControl w:val="0"/>
        <w:pBdr>
          <w:top w:val="single" w:sz="4" w:space="1" w:color="auto"/>
          <w:left w:val="single" w:sz="4" w:space="4" w:color="auto"/>
          <w:bottom w:val="single" w:sz="4" w:space="1" w:color="auto"/>
          <w:right w:val="single" w:sz="4" w:space="4" w:color="auto"/>
        </w:pBdr>
        <w:spacing w:after="0"/>
        <w:rPr>
          <w:rFonts w:cs="Calibri"/>
          <w:color w:val="000000"/>
          <w:sz w:val="18"/>
          <w:szCs w:val="24"/>
        </w:rPr>
      </w:pPr>
      <w:r w:rsidRPr="00313AA4">
        <w:rPr>
          <w:rFonts w:cs="Calibri"/>
          <w:color w:val="000000"/>
          <w:sz w:val="18"/>
          <w:szCs w:val="24"/>
        </w:rPr>
        <w:t>(CATT)</w:t>
      </w:r>
    </w:p>
    <w:p w:rsidR="003A2CF2" w:rsidRPr="00313AA4" w:rsidRDefault="003A2CF2" w:rsidP="003A2CF2">
      <w:pPr>
        <w:widowControl w:val="0"/>
        <w:pBdr>
          <w:top w:val="single" w:sz="4" w:space="1" w:color="auto"/>
          <w:left w:val="single" w:sz="4" w:space="4" w:color="auto"/>
          <w:bottom w:val="single" w:sz="4" w:space="1" w:color="auto"/>
          <w:right w:val="single" w:sz="4" w:space="4" w:color="auto"/>
        </w:pBdr>
        <w:spacing w:after="0"/>
        <w:rPr>
          <w:rFonts w:cs="Calibri"/>
          <w:b/>
          <w:color w:val="0000FF"/>
          <w:sz w:val="18"/>
          <w:szCs w:val="24"/>
        </w:rPr>
      </w:pPr>
      <w:r w:rsidRPr="00313AA4">
        <w:rPr>
          <w:rFonts w:cs="Calibri"/>
          <w:color w:val="000000"/>
          <w:sz w:val="18"/>
          <w:szCs w:val="24"/>
        </w:rPr>
        <w:t xml:space="preserve">Summary of offline disc </w:t>
      </w:r>
      <w:hyperlink r:id="rId8" w:history="1">
        <w:r w:rsidRPr="00313AA4">
          <w:rPr>
            <w:rStyle w:val="Hyperlink"/>
            <w:rFonts w:cs="Calibri"/>
            <w:sz w:val="18"/>
            <w:szCs w:val="24"/>
          </w:rPr>
          <w:t>R3-192061</w:t>
        </w:r>
      </w:hyperlink>
      <w:r w:rsidRPr="00313AA4">
        <w:rPr>
          <w:rFonts w:cs="Calibri"/>
          <w:color w:val="000000"/>
          <w:sz w:val="18"/>
          <w:szCs w:val="24"/>
        </w:rPr>
        <w:t xml:space="preserve"> noted</w:t>
      </w:r>
    </w:p>
    <w:p w:rsidR="003A2CF2" w:rsidRPr="00313AA4" w:rsidRDefault="003A2CF2" w:rsidP="003A2CF2">
      <w:pPr>
        <w:widowControl w:val="0"/>
        <w:pBdr>
          <w:top w:val="single" w:sz="4" w:space="1" w:color="auto"/>
          <w:left w:val="single" w:sz="4" w:space="4" w:color="auto"/>
          <w:bottom w:val="single" w:sz="4" w:space="1" w:color="auto"/>
          <w:right w:val="single" w:sz="4" w:space="4" w:color="auto"/>
        </w:pBdr>
        <w:spacing w:after="0"/>
        <w:rPr>
          <w:rFonts w:cs="Calibri"/>
          <w:b/>
          <w:color w:val="0000FF"/>
          <w:sz w:val="18"/>
          <w:szCs w:val="24"/>
        </w:rPr>
      </w:pPr>
      <w:r w:rsidRPr="00313AA4">
        <w:rPr>
          <w:rFonts w:cs="Calibri"/>
          <w:b/>
          <w:color w:val="0000FF"/>
          <w:sz w:val="18"/>
          <w:szCs w:val="24"/>
        </w:rPr>
        <w:t>-Option 1, via OAM (pre-configuration)</w:t>
      </w:r>
    </w:p>
    <w:p w:rsidR="003A2CF2" w:rsidRPr="00313AA4" w:rsidRDefault="003A2CF2" w:rsidP="003A2CF2">
      <w:pPr>
        <w:widowControl w:val="0"/>
        <w:pBdr>
          <w:top w:val="single" w:sz="4" w:space="1" w:color="auto"/>
          <w:left w:val="single" w:sz="4" w:space="4" w:color="auto"/>
          <w:bottom w:val="single" w:sz="4" w:space="1" w:color="auto"/>
          <w:right w:val="single" w:sz="4" w:space="4" w:color="auto"/>
        </w:pBdr>
        <w:spacing w:after="0"/>
        <w:rPr>
          <w:rFonts w:cs="Calibri"/>
          <w:b/>
          <w:color w:val="0000FF"/>
          <w:sz w:val="18"/>
          <w:szCs w:val="24"/>
        </w:rPr>
      </w:pPr>
      <w:r w:rsidRPr="00313AA4">
        <w:rPr>
          <w:rFonts w:cs="Calibri"/>
          <w:b/>
          <w:color w:val="0000FF"/>
          <w:sz w:val="18"/>
          <w:szCs w:val="24"/>
        </w:rPr>
        <w:t xml:space="preserve">-Option 2, via OAM (Rel-10 relay-like way ) </w:t>
      </w:r>
    </w:p>
    <w:p w:rsidR="003A2CF2" w:rsidRPr="00313AA4" w:rsidRDefault="003A2CF2" w:rsidP="003A2CF2">
      <w:pPr>
        <w:widowControl w:val="0"/>
        <w:pBdr>
          <w:top w:val="single" w:sz="4" w:space="1" w:color="auto"/>
          <w:left w:val="single" w:sz="4" w:space="4" w:color="auto"/>
          <w:bottom w:val="single" w:sz="4" w:space="1" w:color="auto"/>
          <w:right w:val="single" w:sz="4" w:space="4" w:color="auto"/>
        </w:pBdr>
        <w:spacing w:after="0"/>
        <w:rPr>
          <w:rFonts w:cs="Calibri"/>
          <w:b/>
          <w:color w:val="0000FF"/>
          <w:sz w:val="18"/>
          <w:szCs w:val="24"/>
        </w:rPr>
      </w:pPr>
      <w:r w:rsidRPr="00313AA4">
        <w:rPr>
          <w:rFonts w:cs="Calibri"/>
          <w:b/>
          <w:color w:val="0000FF"/>
          <w:sz w:val="18"/>
          <w:szCs w:val="24"/>
        </w:rPr>
        <w:t>-Option 3, via new signaling, the system info from IAB-DU or IAB-donor</w:t>
      </w:r>
    </w:p>
    <w:p w:rsidR="003A2CF2" w:rsidRPr="00313AA4" w:rsidRDefault="003A2CF2" w:rsidP="003A2CF2">
      <w:pPr>
        <w:widowControl w:val="0"/>
        <w:pBdr>
          <w:top w:val="single" w:sz="4" w:space="1" w:color="auto"/>
          <w:left w:val="single" w:sz="4" w:space="4" w:color="auto"/>
          <w:bottom w:val="single" w:sz="4" w:space="1" w:color="auto"/>
          <w:right w:val="single" w:sz="4" w:space="4" w:color="auto"/>
        </w:pBdr>
        <w:spacing w:after="0"/>
        <w:rPr>
          <w:rFonts w:cs="Calibri"/>
          <w:b/>
          <w:color w:val="0000FF"/>
          <w:sz w:val="18"/>
          <w:szCs w:val="24"/>
        </w:rPr>
      </w:pPr>
      <w:r w:rsidRPr="00313AA4">
        <w:rPr>
          <w:rFonts w:cs="Calibri"/>
          <w:b/>
          <w:color w:val="0000FF"/>
          <w:sz w:val="18"/>
          <w:szCs w:val="24"/>
        </w:rPr>
        <w:t>-Option 4, via handover/rediection mechanisms, where IAB-node connects to any cell and then it could be up to CU configuration</w:t>
      </w:r>
    </w:p>
    <w:p w:rsidR="003A2CF2" w:rsidRDefault="003A2CF2" w:rsidP="003A2CF2">
      <w:pPr>
        <w:pBdr>
          <w:top w:val="single" w:sz="4" w:space="1" w:color="auto"/>
          <w:left w:val="single" w:sz="4" w:space="4" w:color="auto"/>
          <w:bottom w:val="single" w:sz="4" w:space="1" w:color="auto"/>
          <w:right w:val="single" w:sz="4" w:space="4" w:color="auto"/>
        </w:pBdr>
        <w:spacing w:after="0"/>
        <w:rPr>
          <w:lang w:val="en-GB"/>
        </w:rPr>
      </w:pPr>
      <w:r w:rsidRPr="00313AA4">
        <w:rPr>
          <w:rFonts w:cs="Calibri"/>
          <w:b/>
          <w:color w:val="0000FF"/>
          <w:sz w:val="18"/>
          <w:szCs w:val="24"/>
        </w:rPr>
        <w:t xml:space="preserve"> To be continued...</w:t>
      </w:r>
    </w:p>
    <w:p w:rsidR="003A2CF2" w:rsidRDefault="003A2CF2" w:rsidP="00F53ECE">
      <w:pPr>
        <w:spacing w:before="240" w:after="240"/>
        <w:rPr>
          <w:rFonts w:ascii="Calibri" w:eastAsia="Malgun Gothic" w:hAnsi="Calibri" w:cs="Batang"/>
          <w:lang w:val="en-GB" w:eastAsia="ko-KR"/>
        </w:rPr>
      </w:pPr>
      <w:r>
        <w:rPr>
          <w:rFonts w:ascii="Calibri" w:eastAsia="Malgun Gothic" w:hAnsi="Calibri" w:cs="Batang"/>
          <w:lang w:val="en-GB" w:eastAsia="ko-KR"/>
        </w:rPr>
        <w:t>Upon further discussion during RAN3#104 meeting, the following agreement and working agreement were made:</w:t>
      </w:r>
    </w:p>
    <w:p w:rsidR="003A2CF2" w:rsidRPr="0031587A" w:rsidRDefault="003A2CF2" w:rsidP="003A2CF2">
      <w:pPr>
        <w:widowControl w:val="0"/>
        <w:pBdr>
          <w:top w:val="single" w:sz="4" w:space="1" w:color="auto"/>
          <w:left w:val="single" w:sz="4" w:space="4" w:color="auto"/>
          <w:bottom w:val="single" w:sz="4" w:space="1" w:color="auto"/>
          <w:right w:val="single" w:sz="4" w:space="4" w:color="auto"/>
        </w:pBdr>
        <w:spacing w:after="0"/>
        <w:ind w:left="144" w:hanging="144"/>
        <w:rPr>
          <w:rFonts w:cs="Calibri"/>
          <w:b/>
          <w:color w:val="00B050"/>
          <w:sz w:val="18"/>
          <w:szCs w:val="24"/>
        </w:rPr>
      </w:pPr>
      <w:r w:rsidRPr="0031587A">
        <w:rPr>
          <w:rFonts w:cs="Calibri"/>
          <w:b/>
          <w:color w:val="00B050"/>
          <w:sz w:val="18"/>
          <w:szCs w:val="24"/>
        </w:rPr>
        <w:t>OAM options are not precluded</w:t>
      </w:r>
    </w:p>
    <w:p w:rsidR="003A2CF2" w:rsidRDefault="003A2CF2" w:rsidP="003A2CF2">
      <w:pPr>
        <w:pBdr>
          <w:top w:val="single" w:sz="4" w:space="1" w:color="auto"/>
          <w:left w:val="single" w:sz="4" w:space="4" w:color="auto"/>
          <w:bottom w:val="single" w:sz="4" w:space="1" w:color="auto"/>
          <w:right w:val="single" w:sz="4" w:space="4" w:color="auto"/>
        </w:pBdr>
        <w:rPr>
          <w:rFonts w:ascii="Calibri" w:eastAsia="Malgun Gothic" w:hAnsi="Calibri" w:cs="Batang"/>
          <w:lang w:val="en-GB" w:eastAsia="ko-KR"/>
        </w:rPr>
      </w:pPr>
      <w:r w:rsidRPr="0031587A">
        <w:rPr>
          <w:rFonts w:cs="Calibri"/>
          <w:b/>
          <w:color w:val="00B050"/>
          <w:sz w:val="18"/>
          <w:szCs w:val="24"/>
        </w:rPr>
        <w:t>WA: Parent node selection is performed via legacy handover/redirection mechanisms (i.e. opt4); enhancements</w:t>
      </w:r>
      <w:r>
        <w:rPr>
          <w:rFonts w:cs="Calibri"/>
          <w:b/>
          <w:color w:val="00B050"/>
          <w:sz w:val="18"/>
          <w:szCs w:val="24"/>
        </w:rPr>
        <w:t xml:space="preserve"> to existing mechanisms enabling opt4</w:t>
      </w:r>
      <w:r w:rsidRPr="0031587A">
        <w:rPr>
          <w:rFonts w:cs="Calibri"/>
          <w:b/>
          <w:color w:val="00B050"/>
          <w:sz w:val="18"/>
          <w:szCs w:val="24"/>
        </w:rPr>
        <w:t>, if necessary, are not precluded</w:t>
      </w:r>
    </w:p>
    <w:p w:rsidR="003A2CF2" w:rsidRDefault="003A2CF2" w:rsidP="00F53ECE">
      <w:pPr>
        <w:spacing w:before="240" w:after="240"/>
        <w:rPr>
          <w:rFonts w:ascii="Calibri" w:eastAsia="Malgun Gothic" w:hAnsi="Calibri" w:cs="Batang"/>
          <w:lang w:val="en-GB" w:eastAsia="ko-KR"/>
        </w:rPr>
      </w:pPr>
      <w:r>
        <w:rPr>
          <w:rFonts w:ascii="Calibri" w:eastAsia="Malgun Gothic" w:hAnsi="Calibri" w:cs="Batang"/>
          <w:lang w:val="en-GB" w:eastAsia="ko-KR"/>
        </w:rPr>
        <w:t xml:space="preserve">In this contribution we further discuss the issue of parent node selection to motivate RAN3 to reach further agreement. </w:t>
      </w:r>
    </w:p>
    <w:p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 </w:t>
      </w:r>
      <w:r w:rsidR="00DD3421">
        <w:t>Legacy HO/Redirection Mechanisms and OAM Options</w:t>
      </w:r>
    </w:p>
    <w:p w:rsidR="00FE233E" w:rsidRDefault="00FE233E" w:rsidP="004A7002">
      <w:pPr>
        <w:rPr>
          <w:rFonts w:ascii="Calibri" w:eastAsia="Malgun Gothic" w:hAnsi="Calibri" w:cs="Batang"/>
          <w:lang w:val="en-GB" w:eastAsia="ko-KR"/>
        </w:rPr>
      </w:pPr>
      <w:r>
        <w:rPr>
          <w:rFonts w:ascii="Calibri" w:eastAsia="Malgun Gothic" w:hAnsi="Calibri" w:cs="Batang"/>
          <w:lang w:val="en-GB" w:eastAsia="ko-KR"/>
        </w:rPr>
        <w:t>There are number of motivations</w:t>
      </w:r>
      <w:r w:rsidR="003B2F05">
        <w:rPr>
          <w:rFonts w:ascii="Calibri" w:eastAsia="Malgun Gothic" w:hAnsi="Calibri" w:cs="Batang"/>
          <w:lang w:val="en-GB" w:eastAsia="ko-KR"/>
        </w:rPr>
        <w:t xml:space="preserve"> behind using Option 4 as a</w:t>
      </w:r>
      <w:r>
        <w:rPr>
          <w:rFonts w:ascii="Calibri" w:eastAsia="Malgun Gothic" w:hAnsi="Calibri" w:cs="Batang"/>
          <w:lang w:val="en-GB" w:eastAsia="ko-KR"/>
        </w:rPr>
        <w:t xml:space="preserve"> method of parent node selection:</w:t>
      </w:r>
    </w:p>
    <w:p w:rsidR="00FE233E" w:rsidRDefault="00FE233E" w:rsidP="00FE233E">
      <w:pPr>
        <w:pStyle w:val="ListParagraph"/>
        <w:numPr>
          <w:ilvl w:val="0"/>
          <w:numId w:val="25"/>
        </w:numPr>
        <w:rPr>
          <w:rFonts w:ascii="Calibri" w:eastAsia="Malgun Gothic" w:hAnsi="Calibri" w:cs="Batang"/>
          <w:lang w:val="en-GB" w:eastAsia="ko-KR"/>
        </w:rPr>
      </w:pPr>
      <w:r w:rsidRPr="00A02A54">
        <w:rPr>
          <w:rFonts w:ascii="Calibri" w:eastAsia="Malgun Gothic" w:hAnsi="Calibri" w:cs="Batang"/>
          <w:b/>
          <w:lang w:val="en-GB" w:eastAsia="ko-KR"/>
        </w:rPr>
        <w:t>Reuse of legacy handover/redirection mechanisms</w:t>
      </w:r>
      <w:r>
        <w:rPr>
          <w:rFonts w:ascii="Calibri" w:eastAsia="Malgun Gothic" w:hAnsi="Calibri" w:cs="Batang"/>
          <w:lang w:val="en-GB" w:eastAsia="ko-KR"/>
        </w:rPr>
        <w:t xml:space="preserve"> – this method reuses already existing specifications for handover/redirection, since the IAB-</w:t>
      </w:r>
      <w:r w:rsidRPr="00FE233E">
        <w:rPr>
          <w:rFonts w:ascii="Calibri" w:eastAsia="Malgun Gothic" w:hAnsi="Calibri" w:cs="Batang"/>
          <w:lang w:val="en-GB" w:eastAsia="ko-KR"/>
        </w:rPr>
        <w:t xml:space="preserve">MT </w:t>
      </w:r>
      <w:r>
        <w:rPr>
          <w:rFonts w:ascii="Calibri" w:eastAsia="Malgun Gothic" w:hAnsi="Calibri" w:cs="Batang"/>
          <w:lang w:val="en-GB" w:eastAsia="ko-KR"/>
        </w:rPr>
        <w:t>connects to the network as</w:t>
      </w:r>
      <w:r w:rsidRPr="00FE233E">
        <w:rPr>
          <w:rFonts w:ascii="Calibri" w:eastAsia="Malgun Gothic" w:hAnsi="Calibri" w:cs="Batang"/>
          <w:lang w:val="en-GB" w:eastAsia="ko-KR"/>
        </w:rPr>
        <w:t xml:space="preserve"> a normal UE</w:t>
      </w:r>
      <w:r>
        <w:rPr>
          <w:rFonts w:ascii="Calibri" w:eastAsia="Malgun Gothic" w:hAnsi="Calibri" w:cs="Batang"/>
          <w:lang w:val="en-GB" w:eastAsia="ko-KR"/>
        </w:rPr>
        <w:t>,</w:t>
      </w:r>
      <w:r w:rsidRPr="00FE233E">
        <w:rPr>
          <w:rFonts w:ascii="Calibri" w:eastAsia="Malgun Gothic" w:hAnsi="Calibri" w:cs="Batang"/>
          <w:lang w:val="en-GB" w:eastAsia="ko-KR"/>
        </w:rPr>
        <w:t xml:space="preserve"> and only after the connection is established does the topology management function at the Donor CU move the IAB node to the desired parent node via a mobility event (e.g. HO or SCG change). </w:t>
      </w:r>
    </w:p>
    <w:p w:rsidR="00FE233E" w:rsidRDefault="00FE233E" w:rsidP="00FE233E">
      <w:pPr>
        <w:pStyle w:val="ListParagraph"/>
        <w:numPr>
          <w:ilvl w:val="0"/>
          <w:numId w:val="25"/>
        </w:numPr>
        <w:rPr>
          <w:rFonts w:ascii="Calibri" w:eastAsia="Malgun Gothic" w:hAnsi="Calibri" w:cs="Batang"/>
          <w:lang w:val="en-GB" w:eastAsia="ko-KR"/>
        </w:rPr>
      </w:pPr>
      <w:r w:rsidRPr="00A02A54">
        <w:rPr>
          <w:rFonts w:ascii="Calibri" w:eastAsia="Malgun Gothic" w:hAnsi="Calibri" w:cs="Batang"/>
          <w:b/>
          <w:lang w:val="en-GB" w:eastAsia="ko-KR"/>
        </w:rPr>
        <w:t>Compatibility with Release 15 CU/DU split architecture</w:t>
      </w:r>
      <w:r>
        <w:rPr>
          <w:rFonts w:ascii="Calibri" w:eastAsia="Malgun Gothic" w:hAnsi="Calibri" w:cs="Batang"/>
          <w:lang w:val="en-GB" w:eastAsia="ko-KR"/>
        </w:rPr>
        <w:t xml:space="preserve"> – This method i</w:t>
      </w:r>
      <w:r w:rsidR="003B2F05">
        <w:rPr>
          <w:rFonts w:ascii="Calibri" w:eastAsia="Malgun Gothic" w:hAnsi="Calibri" w:cs="Batang"/>
          <w:lang w:val="en-GB" w:eastAsia="ko-KR"/>
        </w:rPr>
        <w:t>s very suitable for IAB deployments</w:t>
      </w:r>
      <w:r>
        <w:rPr>
          <w:rFonts w:ascii="Calibri" w:eastAsia="Malgun Gothic" w:hAnsi="Calibri" w:cs="Batang"/>
          <w:lang w:val="en-GB" w:eastAsia="ko-KR"/>
        </w:rPr>
        <w:t xml:space="preserve"> that are </w:t>
      </w:r>
      <w:r w:rsidR="003B2F05">
        <w:rPr>
          <w:rFonts w:ascii="Calibri" w:eastAsia="Malgun Gothic" w:hAnsi="Calibri" w:cs="Batang"/>
          <w:lang w:val="en-GB" w:eastAsia="ko-KR"/>
        </w:rPr>
        <w:t xml:space="preserve">added to </w:t>
      </w:r>
      <w:r>
        <w:rPr>
          <w:rFonts w:ascii="Calibri" w:eastAsia="Malgun Gothic" w:hAnsi="Calibri" w:cs="Batang"/>
          <w:lang w:val="en-GB" w:eastAsia="ko-KR"/>
        </w:rPr>
        <w:t xml:space="preserve">Release 15 NR networks that already use a CU/DU split architecture. This is because individual legacy DUs deployed in the network do not need to be </w:t>
      </w:r>
      <w:r w:rsidR="003B2F05">
        <w:rPr>
          <w:rFonts w:ascii="Calibri" w:eastAsia="Malgun Gothic" w:hAnsi="Calibri" w:cs="Batang"/>
          <w:lang w:val="en-GB" w:eastAsia="ko-KR"/>
        </w:rPr>
        <w:t xml:space="preserve">upgraded to be </w:t>
      </w:r>
      <w:r>
        <w:rPr>
          <w:rFonts w:ascii="Calibri" w:eastAsia="Malgun Gothic" w:hAnsi="Calibri" w:cs="Batang"/>
          <w:lang w:val="en-GB" w:eastAsia="ko-KR"/>
        </w:rPr>
        <w:t xml:space="preserve">IAB-aware. Only the common CUs that support both IAB and non-IAB nodes in the network need to be IAB-aware, which they will have to be anyway in order to support IAB nodes. </w:t>
      </w:r>
      <w:r w:rsidR="003B2F05">
        <w:rPr>
          <w:rFonts w:ascii="Calibri" w:eastAsia="Malgun Gothic" w:hAnsi="Calibri" w:cs="Batang"/>
          <w:lang w:val="en-GB" w:eastAsia="ko-KR"/>
        </w:rPr>
        <w:t>Hence, this method of parent node selection is highly compatible with Release 15 CU/DU split architecture based deployments.</w:t>
      </w:r>
    </w:p>
    <w:p w:rsidR="00FE233E" w:rsidRDefault="00FE233E" w:rsidP="00A02A54">
      <w:pPr>
        <w:pStyle w:val="ListParagraph"/>
        <w:numPr>
          <w:ilvl w:val="0"/>
          <w:numId w:val="25"/>
        </w:numPr>
        <w:rPr>
          <w:rFonts w:ascii="Calibri" w:eastAsia="Malgun Gothic" w:hAnsi="Calibri" w:cs="Batang"/>
          <w:lang w:val="en-GB" w:eastAsia="ko-KR"/>
        </w:rPr>
      </w:pPr>
      <w:r w:rsidRPr="00A02A54">
        <w:rPr>
          <w:rFonts w:ascii="Calibri" w:eastAsia="Malgun Gothic" w:hAnsi="Calibri" w:cs="Batang"/>
          <w:b/>
          <w:lang w:val="en-GB" w:eastAsia="ko-KR"/>
        </w:rPr>
        <w:t>Dynamic and flexible</w:t>
      </w:r>
      <w:r>
        <w:rPr>
          <w:rFonts w:ascii="Calibri" w:eastAsia="Malgun Gothic" w:hAnsi="Calibri" w:cs="Batang"/>
          <w:lang w:val="en-GB" w:eastAsia="ko-KR"/>
        </w:rPr>
        <w:t xml:space="preserve"> - </w:t>
      </w:r>
      <w:r w:rsidR="00A02A54" w:rsidRPr="00A02A54">
        <w:rPr>
          <w:rFonts w:ascii="Calibri" w:eastAsia="Malgun Gothic" w:hAnsi="Calibri" w:cs="Batang"/>
          <w:lang w:val="en-GB" w:eastAsia="ko-KR"/>
        </w:rPr>
        <w:t>Option 4 does not require any significant network planning efforts as the IAB node can connect to any cell and the topology management function at the Donor CU can dynamically and flexibly determine the optimal parent node for the new IAB node. Any changes in topology do not impact any other nodes or require updated signa</w:t>
      </w:r>
      <w:r w:rsidR="00A02A54">
        <w:rPr>
          <w:rFonts w:ascii="Calibri" w:eastAsia="Malgun Gothic" w:hAnsi="Calibri" w:cs="Batang"/>
          <w:lang w:val="en-GB" w:eastAsia="ko-KR"/>
        </w:rPr>
        <w:t>l</w:t>
      </w:r>
      <w:r w:rsidR="00A02A54" w:rsidRPr="00A02A54">
        <w:rPr>
          <w:rFonts w:ascii="Calibri" w:eastAsia="Malgun Gothic" w:hAnsi="Calibri" w:cs="Batang"/>
          <w:lang w:val="en-GB" w:eastAsia="ko-KR"/>
        </w:rPr>
        <w:t>ling as well.</w:t>
      </w:r>
    </w:p>
    <w:p w:rsidR="003B2F05" w:rsidRDefault="003B2F05" w:rsidP="00A02A54">
      <w:pPr>
        <w:pStyle w:val="ListParagraph"/>
        <w:numPr>
          <w:ilvl w:val="0"/>
          <w:numId w:val="25"/>
        </w:numPr>
        <w:rPr>
          <w:rFonts w:ascii="Calibri" w:eastAsia="Malgun Gothic" w:hAnsi="Calibri" w:cs="Batang"/>
          <w:lang w:val="en-GB" w:eastAsia="ko-KR"/>
        </w:rPr>
      </w:pPr>
      <w:r>
        <w:rPr>
          <w:rFonts w:ascii="Calibri" w:eastAsia="Malgun Gothic" w:hAnsi="Calibri" w:cs="Batang"/>
          <w:b/>
          <w:lang w:val="en-GB" w:eastAsia="ko-KR"/>
        </w:rPr>
        <w:lastRenderedPageBreak/>
        <w:t>Simple</w:t>
      </w:r>
      <w:r>
        <w:rPr>
          <w:rFonts w:ascii="Calibri" w:eastAsia="Malgun Gothic" w:hAnsi="Calibri" w:cs="Batang"/>
          <w:lang w:val="en-GB" w:eastAsia="ko-KR"/>
        </w:rPr>
        <w:t xml:space="preserve"> – Option 4 does not rely on delivery or configuration of any network assistance information to the UE and does not require the operator to perform any special network planning. So it is the simplest option for parent node selection.</w:t>
      </w:r>
    </w:p>
    <w:p w:rsidR="001139B2" w:rsidRPr="00FE233E" w:rsidRDefault="001139B2" w:rsidP="00A02A54">
      <w:pPr>
        <w:pStyle w:val="ListParagraph"/>
        <w:numPr>
          <w:ilvl w:val="0"/>
          <w:numId w:val="25"/>
        </w:numPr>
        <w:rPr>
          <w:rFonts w:ascii="Calibri" w:eastAsia="Malgun Gothic" w:hAnsi="Calibri" w:cs="Batang"/>
          <w:lang w:val="en-GB" w:eastAsia="ko-KR"/>
        </w:rPr>
      </w:pPr>
      <w:r>
        <w:rPr>
          <w:rFonts w:ascii="Calibri" w:eastAsia="Malgun Gothic" w:hAnsi="Calibri" w:cs="Batang"/>
          <w:b/>
          <w:lang w:val="en-GB" w:eastAsia="ko-KR"/>
        </w:rPr>
        <w:t>Forward compatible</w:t>
      </w:r>
      <w:r>
        <w:rPr>
          <w:rFonts w:ascii="Calibri" w:eastAsia="Malgun Gothic" w:hAnsi="Calibri" w:cs="Batang"/>
          <w:lang w:val="en-GB" w:eastAsia="ko-KR"/>
        </w:rPr>
        <w:t xml:space="preserve"> – Option 4 is the most forward compatible option due to its flexibility to adapt according to topology changes. In Release 17, IAB enhancements may be added to support IAB node mobility, which may cause more frequent changes to IAB topology than in Release 16 IAB networks. Option 4 is the only parent node selection method option that can seamlessly adapt to IAB node mobility.</w:t>
      </w:r>
    </w:p>
    <w:p w:rsidR="00511874" w:rsidRDefault="00511874" w:rsidP="004A7002">
      <w:pPr>
        <w:rPr>
          <w:rFonts w:ascii="Calibri" w:eastAsia="Malgun Gothic" w:hAnsi="Calibri" w:cs="Batang"/>
          <w:b/>
          <w:lang w:val="en-GB" w:eastAsia="ko-KR"/>
        </w:rPr>
      </w:pPr>
      <w:r>
        <w:rPr>
          <w:rFonts w:ascii="Calibri" w:eastAsia="Malgun Gothic" w:hAnsi="Calibri" w:cs="Batang"/>
          <w:b/>
          <w:lang w:val="en-GB" w:eastAsia="ko-KR"/>
        </w:rPr>
        <w:t>Observation 1: Option 4 method of parent node selection offers very significant benefits to operators with existing Release 15 NR deployments that are based on CU/DU split architecture.</w:t>
      </w:r>
    </w:p>
    <w:p w:rsidR="003B2F05" w:rsidRPr="003B2F05" w:rsidRDefault="003B2F05" w:rsidP="004A7002">
      <w:pPr>
        <w:rPr>
          <w:rFonts w:ascii="Calibri" w:eastAsia="Malgun Gothic" w:hAnsi="Calibri" w:cs="Batang"/>
          <w:b/>
          <w:lang w:val="en-GB" w:eastAsia="ko-KR"/>
        </w:rPr>
      </w:pPr>
      <w:r w:rsidRPr="003B2F05">
        <w:rPr>
          <w:rFonts w:ascii="Calibri" w:eastAsia="Malgun Gothic" w:hAnsi="Calibri" w:cs="Batang"/>
          <w:b/>
          <w:lang w:val="en-GB" w:eastAsia="ko-KR"/>
        </w:rPr>
        <w:t>Proposal 1: RAN3 should confirm Option 4 as a method for parent node selection due to significant benefits of this option to operators.</w:t>
      </w:r>
    </w:p>
    <w:p w:rsidR="003B2F05" w:rsidRDefault="00B50666" w:rsidP="004A7002">
      <w:pPr>
        <w:rPr>
          <w:rFonts w:ascii="Calibri" w:eastAsia="Malgun Gothic" w:hAnsi="Calibri" w:cs="Batang"/>
          <w:lang w:val="en-GB" w:eastAsia="ko-KR"/>
        </w:rPr>
      </w:pPr>
      <w:r>
        <w:rPr>
          <w:rFonts w:ascii="Calibri" w:eastAsia="Malgun Gothic" w:hAnsi="Calibri" w:cs="Batang"/>
          <w:lang w:val="en-GB" w:eastAsia="ko-KR"/>
        </w:rPr>
        <w:t xml:space="preserve">While Option 4 is a very good way to perform parent node selection for operators that have existing NR deployments based on Release 15 CU/DU split architecture, </w:t>
      </w:r>
      <w:r w:rsidR="00511874">
        <w:rPr>
          <w:rFonts w:ascii="Calibri" w:eastAsia="Malgun Gothic" w:hAnsi="Calibri" w:cs="Batang"/>
          <w:lang w:val="en-GB" w:eastAsia="ko-KR"/>
        </w:rPr>
        <w:t xml:space="preserve">for operators that have </w:t>
      </w:r>
      <w:r w:rsidR="009C4F8A">
        <w:rPr>
          <w:rFonts w:ascii="Calibri" w:eastAsia="Malgun Gothic" w:hAnsi="Calibri" w:cs="Batang"/>
          <w:lang w:val="en-GB" w:eastAsia="ko-KR"/>
        </w:rPr>
        <w:t>existing deployments based on</w:t>
      </w:r>
      <w:r w:rsidR="00511874">
        <w:rPr>
          <w:rFonts w:ascii="Calibri" w:eastAsia="Malgun Gothic" w:hAnsi="Calibri" w:cs="Batang"/>
          <w:lang w:val="en-GB" w:eastAsia="ko-KR"/>
        </w:rPr>
        <w:t xml:space="preserve"> monolithic gNB architecture, this option may pose some problems. For example, for operators with existing monolithic gNB architecture deployments, using Option 4 would require performing software upgrades to all monolithic legacy gNBs deployed in the network. Hence, for such operators with monolithic gNB deployments, OAM-based parent node selection methods may be more suitable.  </w:t>
      </w:r>
    </w:p>
    <w:p w:rsidR="009C4F8A" w:rsidRPr="009C4F8A" w:rsidRDefault="009C4F8A" w:rsidP="004A7002">
      <w:pPr>
        <w:rPr>
          <w:rFonts w:ascii="Calibri" w:eastAsia="Malgun Gothic" w:hAnsi="Calibri" w:cs="Batang"/>
          <w:b/>
          <w:lang w:val="en-GB" w:eastAsia="ko-KR"/>
        </w:rPr>
      </w:pPr>
      <w:r w:rsidRPr="009C4F8A">
        <w:rPr>
          <w:rFonts w:ascii="Calibri" w:eastAsia="Malgun Gothic" w:hAnsi="Calibri" w:cs="Batang"/>
          <w:b/>
          <w:lang w:val="en-GB" w:eastAsia="ko-KR"/>
        </w:rPr>
        <w:t>Observation 2: OAM based parent node selectio</w:t>
      </w:r>
      <w:r w:rsidR="007C6338">
        <w:rPr>
          <w:rFonts w:ascii="Calibri" w:eastAsia="Malgun Gothic" w:hAnsi="Calibri" w:cs="Batang"/>
          <w:b/>
          <w:lang w:val="en-GB" w:eastAsia="ko-KR"/>
        </w:rPr>
        <w:t>n methods offer benefits to</w:t>
      </w:r>
      <w:r w:rsidRPr="009C4F8A">
        <w:rPr>
          <w:rFonts w:ascii="Calibri" w:eastAsia="Malgun Gothic" w:hAnsi="Calibri" w:cs="Batang"/>
          <w:b/>
          <w:lang w:val="en-GB" w:eastAsia="ko-KR"/>
        </w:rPr>
        <w:t xml:space="preserve"> opera</w:t>
      </w:r>
      <w:r w:rsidR="007C6338">
        <w:rPr>
          <w:rFonts w:ascii="Calibri" w:eastAsia="Malgun Gothic" w:hAnsi="Calibri" w:cs="Batang"/>
          <w:b/>
          <w:lang w:val="en-GB" w:eastAsia="ko-KR"/>
        </w:rPr>
        <w:t xml:space="preserve">tors who </w:t>
      </w:r>
      <w:r w:rsidRPr="009C4F8A">
        <w:rPr>
          <w:rFonts w:ascii="Calibri" w:eastAsia="Malgun Gothic" w:hAnsi="Calibri" w:cs="Batang"/>
          <w:b/>
          <w:lang w:val="en-GB" w:eastAsia="ko-KR"/>
        </w:rPr>
        <w:t xml:space="preserve">have existing NR deployments based on monolithic gNB architecture. </w:t>
      </w:r>
    </w:p>
    <w:p w:rsidR="001139B2" w:rsidRDefault="009C4F8A" w:rsidP="004A7002">
      <w:pPr>
        <w:rPr>
          <w:rFonts w:ascii="Calibri" w:eastAsia="Malgun Gothic" w:hAnsi="Calibri" w:cs="Batang"/>
          <w:lang w:val="en-GB" w:eastAsia="ko-KR"/>
        </w:rPr>
      </w:pPr>
      <w:r>
        <w:rPr>
          <w:rFonts w:ascii="Calibri" w:eastAsia="Malgun Gothic" w:hAnsi="Calibri" w:cs="Batang"/>
          <w:lang w:val="en-GB" w:eastAsia="ko-KR"/>
        </w:rPr>
        <w:t>Another aspect of this issue is that of deployment scale. For small IAB deployments</w:t>
      </w:r>
      <w:r w:rsidR="007C6338">
        <w:rPr>
          <w:rFonts w:ascii="Calibri" w:eastAsia="Malgun Gothic" w:hAnsi="Calibri" w:cs="Batang"/>
          <w:lang w:val="en-GB" w:eastAsia="ko-KR"/>
        </w:rPr>
        <w:t xml:space="preserve"> where are only a few nodes are added as fill-ins to provide additional coverage in an area, it may be fairly easy to provide OAM-based pre-configuration of the nodes before they are deployed. However, for operators that are even moderately bullish about IAB deployments, and want to deploy IAB on a somewhat larger scale, for example, over </w:t>
      </w:r>
      <w:r w:rsidR="001139B2">
        <w:rPr>
          <w:rFonts w:ascii="Calibri" w:eastAsia="Malgun Gothic" w:hAnsi="Calibri" w:cs="Batang"/>
          <w:lang w:val="en-GB" w:eastAsia="ko-KR"/>
        </w:rPr>
        <w:t>a broad</w:t>
      </w:r>
      <w:r w:rsidR="007C6338">
        <w:rPr>
          <w:rFonts w:ascii="Calibri" w:eastAsia="Malgun Gothic" w:hAnsi="Calibri" w:cs="Batang"/>
          <w:lang w:val="en-GB" w:eastAsia="ko-KR"/>
        </w:rPr>
        <w:t xml:space="preserve"> urban </w:t>
      </w:r>
      <w:r w:rsidR="001139B2">
        <w:rPr>
          <w:rFonts w:ascii="Calibri" w:eastAsia="Malgun Gothic" w:hAnsi="Calibri" w:cs="Batang"/>
          <w:lang w:val="en-GB" w:eastAsia="ko-KR"/>
        </w:rPr>
        <w:t>grid, Option 4 provides significant benefits. Hence, there is a place for both Option 4 and OAM-based options i</w:t>
      </w:r>
      <w:r w:rsidR="00024B67">
        <w:rPr>
          <w:rFonts w:ascii="Calibri" w:eastAsia="Malgun Gothic" w:hAnsi="Calibri" w:cs="Batang"/>
          <w:lang w:val="en-GB" w:eastAsia="ko-KR"/>
        </w:rPr>
        <w:t>n the toolbox, so operators can</w:t>
      </w:r>
      <w:r w:rsidR="001139B2">
        <w:rPr>
          <w:rFonts w:ascii="Calibri" w:eastAsia="Malgun Gothic" w:hAnsi="Calibri" w:cs="Batang"/>
          <w:lang w:val="en-GB" w:eastAsia="ko-KR"/>
        </w:rPr>
        <w:t xml:space="preserve"> use the appropriate tool depending upon the scale and nature of their planned IAB deployments.</w:t>
      </w:r>
      <w:r w:rsidR="00773B29">
        <w:rPr>
          <w:rFonts w:ascii="Calibri" w:eastAsia="Malgun Gothic" w:hAnsi="Calibri" w:cs="Batang"/>
          <w:lang w:val="en-GB" w:eastAsia="ko-KR"/>
        </w:rPr>
        <w:t xml:space="preserve"> There are a wide range of operators across different regions in the world with networks that are in different states of deployments or planned deployments. Providing two different tools for parent not selection may be very useful</w:t>
      </w:r>
      <w:r w:rsidR="00C5283A">
        <w:rPr>
          <w:rFonts w:ascii="Calibri" w:eastAsia="Malgun Gothic" w:hAnsi="Calibri" w:cs="Batang"/>
          <w:lang w:val="en-GB" w:eastAsia="ko-KR"/>
        </w:rPr>
        <w:t xml:space="preserve"> to such a diverse operator community.</w:t>
      </w:r>
    </w:p>
    <w:p w:rsidR="009C4F8A" w:rsidRDefault="001139B2" w:rsidP="004A7002">
      <w:pPr>
        <w:rPr>
          <w:rFonts w:ascii="Calibri" w:eastAsia="Malgun Gothic" w:hAnsi="Calibri" w:cs="Batang"/>
          <w:b/>
          <w:lang w:val="en-GB" w:eastAsia="ko-KR"/>
        </w:rPr>
      </w:pPr>
      <w:r w:rsidRPr="004B19E9">
        <w:rPr>
          <w:rFonts w:ascii="Calibri" w:eastAsia="Malgun Gothic" w:hAnsi="Calibri" w:cs="Batang"/>
          <w:b/>
          <w:lang w:val="en-GB" w:eastAsia="ko-KR"/>
        </w:rPr>
        <w:t>Observation 3: For small scale IAB deployments, OAM-base</w:t>
      </w:r>
      <w:r w:rsidR="00024B67">
        <w:rPr>
          <w:rFonts w:ascii="Calibri" w:eastAsia="Malgun Gothic" w:hAnsi="Calibri" w:cs="Batang"/>
          <w:b/>
          <w:lang w:val="en-GB" w:eastAsia="ko-KR"/>
        </w:rPr>
        <w:t>d parent node s</w:t>
      </w:r>
      <w:r w:rsidR="00C5283A">
        <w:rPr>
          <w:rFonts w:ascii="Calibri" w:eastAsia="Malgun Gothic" w:hAnsi="Calibri" w:cs="Batang"/>
          <w:b/>
          <w:lang w:val="en-GB" w:eastAsia="ko-KR"/>
        </w:rPr>
        <w:t xml:space="preserve">election methods are convenient. For </w:t>
      </w:r>
      <w:r w:rsidR="00024B67">
        <w:rPr>
          <w:rFonts w:ascii="Calibri" w:eastAsia="Malgun Gothic" w:hAnsi="Calibri" w:cs="Batang"/>
          <w:b/>
          <w:lang w:val="en-GB" w:eastAsia="ko-KR"/>
        </w:rPr>
        <w:t>moderately larger scale IAB deployments, Option 4-based parent node selection provides significant benefits.</w:t>
      </w:r>
    </w:p>
    <w:p w:rsidR="00024B67" w:rsidRDefault="00024B67" w:rsidP="004A7002">
      <w:pPr>
        <w:rPr>
          <w:rFonts w:ascii="Calibri" w:eastAsia="Malgun Gothic" w:hAnsi="Calibri" w:cs="Batang"/>
          <w:b/>
          <w:lang w:val="en-GB" w:eastAsia="ko-KR"/>
        </w:rPr>
      </w:pPr>
      <w:r>
        <w:rPr>
          <w:rFonts w:ascii="Calibri" w:eastAsia="Malgun Gothic" w:hAnsi="Calibri" w:cs="Batang"/>
          <w:b/>
          <w:lang w:val="en-GB" w:eastAsia="ko-KR"/>
        </w:rPr>
        <w:t>Observation 4: T</w:t>
      </w:r>
      <w:r w:rsidRPr="00024B67">
        <w:rPr>
          <w:rFonts w:ascii="Calibri" w:eastAsia="Malgun Gothic" w:hAnsi="Calibri" w:cs="Batang"/>
          <w:b/>
          <w:lang w:val="en-GB" w:eastAsia="ko-KR"/>
        </w:rPr>
        <w:t>here is a place for both</w:t>
      </w:r>
      <w:r>
        <w:rPr>
          <w:rFonts w:ascii="Calibri" w:eastAsia="Malgun Gothic" w:hAnsi="Calibri" w:cs="Batang"/>
          <w:b/>
          <w:lang w:val="en-GB" w:eastAsia="ko-KR"/>
        </w:rPr>
        <w:t xml:space="preserve"> Option 4 and OAM-based parent node selection options, so operators can </w:t>
      </w:r>
      <w:r w:rsidRPr="00024B67">
        <w:rPr>
          <w:rFonts w:ascii="Calibri" w:eastAsia="Malgun Gothic" w:hAnsi="Calibri" w:cs="Batang"/>
          <w:b/>
          <w:lang w:val="en-GB" w:eastAsia="ko-KR"/>
        </w:rPr>
        <w:t>use the appropriate tool depending upon the scale and nature of their planned IAB deployments</w:t>
      </w:r>
      <w:r>
        <w:rPr>
          <w:rFonts w:ascii="Calibri" w:eastAsia="Malgun Gothic" w:hAnsi="Calibri" w:cs="Batang"/>
          <w:b/>
          <w:lang w:val="en-GB" w:eastAsia="ko-KR"/>
        </w:rPr>
        <w:t>.</w:t>
      </w:r>
    </w:p>
    <w:p w:rsidR="00C5283A" w:rsidRDefault="00C5283A" w:rsidP="004A7002">
      <w:pPr>
        <w:rPr>
          <w:rFonts w:ascii="Calibri" w:eastAsia="Malgun Gothic" w:hAnsi="Calibri" w:cs="Batang"/>
          <w:lang w:val="en-GB" w:eastAsia="ko-KR"/>
        </w:rPr>
      </w:pPr>
      <w:r>
        <w:rPr>
          <w:rFonts w:ascii="Calibri" w:eastAsia="Malgun Gothic" w:hAnsi="Calibri" w:cs="Batang"/>
          <w:lang w:val="en-GB" w:eastAsia="ko-KR"/>
        </w:rPr>
        <w:t>Finally, there is no reason why OAM-based parent node selection methods cannot coexist with Option 4 based methods. For example, an IAB node that is pre-configured by OAM with potential parent node information can be quite easily deployed in a network that normally uses the legacy handover/redirection mechanism for parent node selection. In such a case, when the OAM preconfigured IAB node connects to the network, the network may simply decide that the IAB node is already connected to the appropriate parent and no handover/redirection action is needed.</w:t>
      </w:r>
    </w:p>
    <w:p w:rsidR="00C5283A" w:rsidRPr="00C5283A" w:rsidRDefault="00C5283A" w:rsidP="004A7002">
      <w:pPr>
        <w:rPr>
          <w:rFonts w:ascii="Calibri" w:eastAsia="Malgun Gothic" w:hAnsi="Calibri" w:cs="Batang"/>
          <w:b/>
          <w:lang w:val="en-GB" w:eastAsia="ko-KR"/>
        </w:rPr>
      </w:pPr>
      <w:r w:rsidRPr="00C5283A">
        <w:rPr>
          <w:rFonts w:ascii="Calibri" w:eastAsia="Malgun Gothic" w:hAnsi="Calibri" w:cs="Batang"/>
          <w:b/>
          <w:lang w:val="en-GB" w:eastAsia="ko-KR"/>
        </w:rPr>
        <w:t>Observation 5: OAM-based methods can nicely co-exist with Option 4 based methods in an IAB network.</w:t>
      </w:r>
    </w:p>
    <w:p w:rsidR="00024B67" w:rsidRDefault="00773B29" w:rsidP="004A7002">
      <w:pPr>
        <w:rPr>
          <w:rFonts w:ascii="Calibri" w:eastAsia="Malgun Gothic" w:hAnsi="Calibri" w:cs="Batang"/>
          <w:lang w:val="en-GB" w:eastAsia="ko-KR"/>
        </w:rPr>
      </w:pPr>
      <w:r>
        <w:rPr>
          <w:rFonts w:ascii="Calibri" w:eastAsia="Malgun Gothic" w:hAnsi="Calibri" w:cs="Batang"/>
          <w:lang w:val="en-GB" w:eastAsia="ko-KR"/>
        </w:rPr>
        <w:t xml:space="preserve">Based on current RAN3 working agreement, OAM options are not precluded and Option 4 is already tentatively agreed to be used for parent node selection. Based on the reasoning presented in this paper, we propose that </w:t>
      </w:r>
      <w:r w:rsidR="00C5283A">
        <w:rPr>
          <w:rFonts w:ascii="Calibri" w:eastAsia="Malgun Gothic" w:hAnsi="Calibri" w:cs="Batang"/>
          <w:lang w:val="en-GB" w:eastAsia="ko-KR"/>
        </w:rPr>
        <w:t xml:space="preserve">RAN3 should confirm support for </w:t>
      </w:r>
      <w:r>
        <w:rPr>
          <w:rFonts w:ascii="Calibri" w:eastAsia="Malgun Gothic" w:hAnsi="Calibri" w:cs="Batang"/>
          <w:lang w:val="en-GB" w:eastAsia="ko-KR"/>
        </w:rPr>
        <w:t>both OAM based methods as well as Option 4-based method (via legacy handover/redirection) for</w:t>
      </w:r>
      <w:r w:rsidR="00C5283A">
        <w:rPr>
          <w:rFonts w:ascii="Calibri" w:eastAsia="Malgun Gothic" w:hAnsi="Calibri" w:cs="Batang"/>
          <w:lang w:val="en-GB" w:eastAsia="ko-KR"/>
        </w:rPr>
        <w:t xml:space="preserve"> parent node selection. </w:t>
      </w:r>
      <w:r>
        <w:rPr>
          <w:rFonts w:ascii="Calibri" w:eastAsia="Malgun Gothic" w:hAnsi="Calibri" w:cs="Batang"/>
          <w:lang w:val="en-GB" w:eastAsia="ko-KR"/>
        </w:rPr>
        <w:t xml:space="preserve"> </w:t>
      </w:r>
    </w:p>
    <w:p w:rsidR="00F13A40" w:rsidRPr="00C5283A" w:rsidRDefault="00F13A40" w:rsidP="00F13A40">
      <w:pPr>
        <w:rPr>
          <w:rFonts w:ascii="Calibri" w:eastAsia="Malgun Gothic" w:hAnsi="Calibri" w:cs="Batang"/>
          <w:b/>
          <w:lang w:val="en-GB" w:eastAsia="ko-KR"/>
        </w:rPr>
      </w:pPr>
      <w:r>
        <w:rPr>
          <w:rFonts w:ascii="Calibri" w:eastAsia="Malgun Gothic" w:hAnsi="Calibri" w:cs="Batang"/>
          <w:b/>
          <w:lang w:val="en-GB" w:eastAsia="ko-KR"/>
        </w:rPr>
        <w:t>Proposal 2</w:t>
      </w:r>
      <w:r w:rsidRPr="00C5283A">
        <w:rPr>
          <w:rFonts w:ascii="Calibri" w:eastAsia="Malgun Gothic" w:hAnsi="Calibri" w:cs="Batang"/>
          <w:b/>
          <w:lang w:val="en-GB" w:eastAsia="ko-KR"/>
        </w:rPr>
        <w:t xml:space="preserve">: RAN3 </w:t>
      </w:r>
      <w:r>
        <w:rPr>
          <w:rFonts w:ascii="Calibri" w:eastAsia="Malgun Gothic" w:hAnsi="Calibri" w:cs="Batang"/>
          <w:b/>
          <w:lang w:val="en-GB" w:eastAsia="ko-KR"/>
        </w:rPr>
        <w:t xml:space="preserve">should confirm that OAM-based methods for parent node selection are not precluded, and can co-exist with </w:t>
      </w:r>
      <w:r w:rsidRPr="00C5283A">
        <w:rPr>
          <w:rFonts w:ascii="Calibri" w:eastAsia="Malgun Gothic" w:hAnsi="Calibri" w:cs="Batang"/>
          <w:b/>
          <w:lang w:val="en-GB" w:eastAsia="ko-KR"/>
        </w:rPr>
        <w:t>Option 4-based method (via legacy handover/redirection) for parent node selection.</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F82906" w:rsidP="004A7002">
      <w:pPr>
        <w:pStyle w:val="maintext"/>
        <w:ind w:firstLineChars="0" w:firstLine="0"/>
        <w:rPr>
          <w:rFonts w:ascii="Calibri" w:hAnsi="Calibri"/>
        </w:rPr>
      </w:pPr>
      <w:r>
        <w:rPr>
          <w:rFonts w:ascii="Calibri" w:hAnsi="Calibri"/>
        </w:rPr>
        <w:t>In this contribution we discuss</w:t>
      </w:r>
      <w:r w:rsidR="00C5283A">
        <w:rPr>
          <w:rFonts w:ascii="Calibri" w:hAnsi="Calibri"/>
        </w:rPr>
        <w:t>ed parent node selection methods and provided the following observations and proposal for consideration</w:t>
      </w:r>
      <w:r>
        <w:rPr>
          <w:rFonts w:ascii="Calibri" w:hAnsi="Calibri"/>
        </w:rPr>
        <w:t>:</w:t>
      </w:r>
      <w:r w:rsidR="004A7002">
        <w:rPr>
          <w:rFonts w:ascii="Calibri" w:hAnsi="Calibri"/>
        </w:rPr>
        <w:t xml:space="preserve"> </w:t>
      </w:r>
    </w:p>
    <w:p w:rsidR="00C5283A" w:rsidRDefault="00C5283A" w:rsidP="00C5283A">
      <w:pPr>
        <w:rPr>
          <w:rFonts w:ascii="Calibri" w:eastAsia="Malgun Gothic" w:hAnsi="Calibri" w:cs="Batang"/>
          <w:b/>
          <w:lang w:val="en-GB" w:eastAsia="ko-KR"/>
        </w:rPr>
      </w:pPr>
      <w:r>
        <w:rPr>
          <w:rFonts w:ascii="Calibri" w:eastAsia="Malgun Gothic" w:hAnsi="Calibri" w:cs="Batang"/>
          <w:b/>
          <w:lang w:val="en-GB" w:eastAsia="ko-KR"/>
        </w:rPr>
        <w:t>Observation 1: Option 4 method of parent node selection offers very significant benefits to operators with existing Release 15 NR deployments that are based on CU/DU split architecture.</w:t>
      </w:r>
    </w:p>
    <w:p w:rsidR="000D25E8" w:rsidRPr="009C4F8A" w:rsidRDefault="000D25E8" w:rsidP="000D25E8">
      <w:pPr>
        <w:rPr>
          <w:rFonts w:ascii="Calibri" w:eastAsia="Malgun Gothic" w:hAnsi="Calibri" w:cs="Batang"/>
          <w:b/>
          <w:lang w:val="en-GB" w:eastAsia="ko-KR"/>
        </w:rPr>
      </w:pPr>
      <w:r w:rsidRPr="009C4F8A">
        <w:rPr>
          <w:rFonts w:ascii="Calibri" w:eastAsia="Malgun Gothic" w:hAnsi="Calibri" w:cs="Batang"/>
          <w:b/>
          <w:lang w:val="en-GB" w:eastAsia="ko-KR"/>
        </w:rPr>
        <w:lastRenderedPageBreak/>
        <w:t>Observation 2: OAM based parent node selectio</w:t>
      </w:r>
      <w:r>
        <w:rPr>
          <w:rFonts w:ascii="Calibri" w:eastAsia="Malgun Gothic" w:hAnsi="Calibri" w:cs="Batang"/>
          <w:b/>
          <w:lang w:val="en-GB" w:eastAsia="ko-KR"/>
        </w:rPr>
        <w:t>n methods offer benefits to</w:t>
      </w:r>
      <w:r w:rsidRPr="009C4F8A">
        <w:rPr>
          <w:rFonts w:ascii="Calibri" w:eastAsia="Malgun Gothic" w:hAnsi="Calibri" w:cs="Batang"/>
          <w:b/>
          <w:lang w:val="en-GB" w:eastAsia="ko-KR"/>
        </w:rPr>
        <w:t xml:space="preserve"> opera</w:t>
      </w:r>
      <w:r>
        <w:rPr>
          <w:rFonts w:ascii="Calibri" w:eastAsia="Malgun Gothic" w:hAnsi="Calibri" w:cs="Batang"/>
          <w:b/>
          <w:lang w:val="en-GB" w:eastAsia="ko-KR"/>
        </w:rPr>
        <w:t xml:space="preserve">tors who </w:t>
      </w:r>
      <w:r w:rsidRPr="009C4F8A">
        <w:rPr>
          <w:rFonts w:ascii="Calibri" w:eastAsia="Malgun Gothic" w:hAnsi="Calibri" w:cs="Batang"/>
          <w:b/>
          <w:lang w:val="en-GB" w:eastAsia="ko-KR"/>
        </w:rPr>
        <w:t xml:space="preserve">have existing NR deployments based on monolithic gNB architecture. </w:t>
      </w:r>
    </w:p>
    <w:p w:rsidR="000D25E8" w:rsidRDefault="000D25E8" w:rsidP="000D25E8">
      <w:pPr>
        <w:rPr>
          <w:rFonts w:ascii="Calibri" w:eastAsia="Malgun Gothic" w:hAnsi="Calibri" w:cs="Batang"/>
          <w:b/>
          <w:lang w:val="en-GB" w:eastAsia="ko-KR"/>
        </w:rPr>
      </w:pPr>
      <w:r w:rsidRPr="004B19E9">
        <w:rPr>
          <w:rFonts w:ascii="Calibri" w:eastAsia="Malgun Gothic" w:hAnsi="Calibri" w:cs="Batang"/>
          <w:b/>
          <w:lang w:val="en-GB" w:eastAsia="ko-KR"/>
        </w:rPr>
        <w:t>Observation 3: For small scale IAB deployments, OAM-base</w:t>
      </w:r>
      <w:r>
        <w:rPr>
          <w:rFonts w:ascii="Calibri" w:eastAsia="Malgun Gothic" w:hAnsi="Calibri" w:cs="Batang"/>
          <w:b/>
          <w:lang w:val="en-GB" w:eastAsia="ko-KR"/>
        </w:rPr>
        <w:t>d parent node selection methods are convenient. For moderately larger scale IAB deployments, Option 4-based parent node selection provides significant benefits.</w:t>
      </w:r>
    </w:p>
    <w:p w:rsidR="000D25E8" w:rsidRDefault="000D25E8" w:rsidP="000D25E8">
      <w:pPr>
        <w:rPr>
          <w:rFonts w:ascii="Calibri" w:eastAsia="Malgun Gothic" w:hAnsi="Calibri" w:cs="Batang"/>
          <w:b/>
          <w:lang w:val="en-GB" w:eastAsia="ko-KR"/>
        </w:rPr>
      </w:pPr>
      <w:r>
        <w:rPr>
          <w:rFonts w:ascii="Calibri" w:eastAsia="Malgun Gothic" w:hAnsi="Calibri" w:cs="Batang"/>
          <w:b/>
          <w:lang w:val="en-GB" w:eastAsia="ko-KR"/>
        </w:rPr>
        <w:t>Observation 4: T</w:t>
      </w:r>
      <w:r w:rsidRPr="00024B67">
        <w:rPr>
          <w:rFonts w:ascii="Calibri" w:eastAsia="Malgun Gothic" w:hAnsi="Calibri" w:cs="Batang"/>
          <w:b/>
          <w:lang w:val="en-GB" w:eastAsia="ko-KR"/>
        </w:rPr>
        <w:t>here is a place for both</w:t>
      </w:r>
      <w:r>
        <w:rPr>
          <w:rFonts w:ascii="Calibri" w:eastAsia="Malgun Gothic" w:hAnsi="Calibri" w:cs="Batang"/>
          <w:b/>
          <w:lang w:val="en-GB" w:eastAsia="ko-KR"/>
        </w:rPr>
        <w:t xml:space="preserve"> Option 4 and OAM-based parent node selection options, so operators can </w:t>
      </w:r>
      <w:r w:rsidRPr="00024B67">
        <w:rPr>
          <w:rFonts w:ascii="Calibri" w:eastAsia="Malgun Gothic" w:hAnsi="Calibri" w:cs="Batang"/>
          <w:b/>
          <w:lang w:val="en-GB" w:eastAsia="ko-KR"/>
        </w:rPr>
        <w:t>use the appropriate tool depending upon the scale and nature of their planned IAB deployments</w:t>
      </w:r>
      <w:r>
        <w:rPr>
          <w:rFonts w:ascii="Calibri" w:eastAsia="Malgun Gothic" w:hAnsi="Calibri" w:cs="Batang"/>
          <w:b/>
          <w:lang w:val="en-GB" w:eastAsia="ko-KR"/>
        </w:rPr>
        <w:t>.</w:t>
      </w:r>
    </w:p>
    <w:p w:rsidR="000D25E8" w:rsidRPr="00C5283A" w:rsidRDefault="000D25E8" w:rsidP="000D25E8">
      <w:pPr>
        <w:rPr>
          <w:rFonts w:ascii="Calibri" w:eastAsia="Malgun Gothic" w:hAnsi="Calibri" w:cs="Batang"/>
          <w:b/>
          <w:lang w:val="en-GB" w:eastAsia="ko-KR"/>
        </w:rPr>
      </w:pPr>
      <w:r w:rsidRPr="00C5283A">
        <w:rPr>
          <w:rFonts w:ascii="Calibri" w:eastAsia="Malgun Gothic" w:hAnsi="Calibri" w:cs="Batang"/>
          <w:b/>
          <w:lang w:val="en-GB" w:eastAsia="ko-KR"/>
        </w:rPr>
        <w:t>Observation 5: OAM-based methods can nicely co-exist with Option 4 based methods in an IAB network.</w:t>
      </w:r>
    </w:p>
    <w:p w:rsidR="00C408C7" w:rsidRDefault="00C408C7" w:rsidP="00C408C7">
      <w:pPr>
        <w:rPr>
          <w:rFonts w:ascii="Calibri" w:eastAsia="Malgun Gothic" w:hAnsi="Calibri" w:cs="Batang"/>
          <w:b/>
          <w:lang w:val="en-GB" w:eastAsia="ko-KR"/>
        </w:rPr>
      </w:pPr>
    </w:p>
    <w:p w:rsidR="000D25E8" w:rsidRPr="003B2F05" w:rsidRDefault="000D25E8" w:rsidP="000D25E8">
      <w:pPr>
        <w:rPr>
          <w:rFonts w:ascii="Calibri" w:eastAsia="Malgun Gothic" w:hAnsi="Calibri" w:cs="Batang"/>
          <w:b/>
          <w:lang w:val="en-GB" w:eastAsia="ko-KR"/>
        </w:rPr>
      </w:pPr>
      <w:r w:rsidRPr="003B2F05">
        <w:rPr>
          <w:rFonts w:ascii="Calibri" w:eastAsia="Malgun Gothic" w:hAnsi="Calibri" w:cs="Batang"/>
          <w:b/>
          <w:lang w:val="en-GB" w:eastAsia="ko-KR"/>
        </w:rPr>
        <w:t>Proposal 1: RAN3 should confirm Option 4 as a method for parent node selection due to significant benefits of this option to operators.</w:t>
      </w:r>
    </w:p>
    <w:p w:rsidR="000D25E8" w:rsidRPr="00C5283A" w:rsidRDefault="000D25E8" w:rsidP="000D25E8">
      <w:pPr>
        <w:rPr>
          <w:rFonts w:ascii="Calibri" w:eastAsia="Malgun Gothic" w:hAnsi="Calibri" w:cs="Batang"/>
          <w:b/>
          <w:lang w:val="en-GB" w:eastAsia="ko-KR"/>
        </w:rPr>
      </w:pPr>
      <w:r>
        <w:rPr>
          <w:rFonts w:ascii="Calibri" w:eastAsia="Malgun Gothic" w:hAnsi="Calibri" w:cs="Batang"/>
          <w:b/>
          <w:lang w:val="en-GB" w:eastAsia="ko-KR"/>
        </w:rPr>
        <w:t>Proposal 2</w:t>
      </w:r>
      <w:r w:rsidRPr="00C5283A">
        <w:rPr>
          <w:rFonts w:ascii="Calibri" w:eastAsia="Malgun Gothic" w:hAnsi="Calibri" w:cs="Batang"/>
          <w:b/>
          <w:lang w:val="en-GB" w:eastAsia="ko-KR"/>
        </w:rPr>
        <w:t xml:space="preserve">: RAN3 </w:t>
      </w:r>
      <w:r w:rsidR="00F13A40">
        <w:rPr>
          <w:rFonts w:ascii="Calibri" w:eastAsia="Malgun Gothic" w:hAnsi="Calibri" w:cs="Batang"/>
          <w:b/>
          <w:lang w:val="en-GB" w:eastAsia="ko-KR"/>
        </w:rPr>
        <w:t xml:space="preserve">should confirm that OAM-based methods for parent node selection are not precluded, and can co-exist with </w:t>
      </w:r>
      <w:r w:rsidRPr="00C5283A">
        <w:rPr>
          <w:rFonts w:ascii="Calibri" w:eastAsia="Malgun Gothic" w:hAnsi="Calibri" w:cs="Batang"/>
          <w:b/>
          <w:lang w:val="en-GB" w:eastAsia="ko-KR"/>
        </w:rPr>
        <w:t>Option 4-based method (via legacy handover/redirection) for parent node selection.</w:t>
      </w:r>
    </w:p>
    <w:p w:rsidR="00477F9F" w:rsidRPr="004131D6" w:rsidRDefault="00477F9F" w:rsidP="00C408C7">
      <w:pPr>
        <w:rPr>
          <w:rFonts w:ascii="Calibri" w:eastAsia="Malgun Gothic" w:hAnsi="Calibri" w:cs="Batang"/>
          <w:b/>
          <w:lang w:val="en-GB" w:eastAsia="ko-KR"/>
        </w:rPr>
      </w:pPr>
    </w:p>
    <w:sectPr w:rsidR="00477F9F" w:rsidRPr="004131D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AD0" w:rsidRDefault="00E07AD0" w:rsidP="00424124">
      <w:pPr>
        <w:spacing w:before="0" w:after="0"/>
      </w:pPr>
      <w:r>
        <w:separator/>
      </w:r>
    </w:p>
  </w:endnote>
  <w:endnote w:type="continuationSeparator" w:id="0">
    <w:p w:rsidR="00E07AD0" w:rsidRDefault="00E07AD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AD0" w:rsidRDefault="00E07AD0" w:rsidP="00424124">
      <w:pPr>
        <w:spacing w:before="0" w:after="0"/>
      </w:pPr>
      <w:r>
        <w:separator/>
      </w:r>
    </w:p>
  </w:footnote>
  <w:footnote w:type="continuationSeparator" w:id="0">
    <w:p w:rsidR="00E07AD0" w:rsidRDefault="00E07AD0"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6"/>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14"/>
  </w:num>
  <w:num w:numId="9">
    <w:abstractNumId w:val="2"/>
  </w:num>
  <w:num w:numId="10">
    <w:abstractNumId w:val="3"/>
  </w:num>
  <w:num w:numId="11">
    <w:abstractNumId w:val="17"/>
  </w:num>
  <w:num w:numId="12">
    <w:abstractNumId w:val="9"/>
  </w:num>
  <w:num w:numId="13">
    <w:abstractNumId w:val="10"/>
  </w:num>
  <w:num w:numId="14">
    <w:abstractNumId w:val="24"/>
  </w:num>
  <w:num w:numId="15">
    <w:abstractNumId w:val="1"/>
  </w:num>
  <w:num w:numId="16">
    <w:abstractNumId w:val="21"/>
  </w:num>
  <w:num w:numId="17">
    <w:abstractNumId w:val="15"/>
  </w:num>
  <w:num w:numId="18">
    <w:abstractNumId w:val="12"/>
  </w:num>
  <w:num w:numId="19">
    <w:abstractNumId w:val="5"/>
  </w:num>
  <w:num w:numId="20">
    <w:abstractNumId w:val="22"/>
  </w:num>
  <w:num w:numId="21">
    <w:abstractNumId w:val="20"/>
  </w:num>
  <w:num w:numId="22">
    <w:abstractNumId w:val="23"/>
  </w:num>
  <w:num w:numId="23">
    <w:abstractNumId w:val="7"/>
  </w:num>
  <w:num w:numId="24">
    <w:abstractNumId w:val="19"/>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1BF8"/>
    <w:rsid w:val="00004522"/>
    <w:rsid w:val="000052FF"/>
    <w:rsid w:val="00005D82"/>
    <w:rsid w:val="0001485D"/>
    <w:rsid w:val="000149EC"/>
    <w:rsid w:val="00020F1A"/>
    <w:rsid w:val="00024B67"/>
    <w:rsid w:val="00032D47"/>
    <w:rsid w:val="000337FC"/>
    <w:rsid w:val="00042177"/>
    <w:rsid w:val="000440EF"/>
    <w:rsid w:val="00044947"/>
    <w:rsid w:val="000463E4"/>
    <w:rsid w:val="00051B4B"/>
    <w:rsid w:val="00051EBB"/>
    <w:rsid w:val="0005289E"/>
    <w:rsid w:val="0005353F"/>
    <w:rsid w:val="000550BC"/>
    <w:rsid w:val="00057E9B"/>
    <w:rsid w:val="000643FA"/>
    <w:rsid w:val="00070728"/>
    <w:rsid w:val="000730C9"/>
    <w:rsid w:val="00074609"/>
    <w:rsid w:val="0007575F"/>
    <w:rsid w:val="00075B2C"/>
    <w:rsid w:val="00075FD1"/>
    <w:rsid w:val="00077712"/>
    <w:rsid w:val="00085800"/>
    <w:rsid w:val="000865E3"/>
    <w:rsid w:val="0009041F"/>
    <w:rsid w:val="000917C5"/>
    <w:rsid w:val="00094DA3"/>
    <w:rsid w:val="00097DC6"/>
    <w:rsid w:val="000A36A9"/>
    <w:rsid w:val="000B0720"/>
    <w:rsid w:val="000B58AF"/>
    <w:rsid w:val="000B6D99"/>
    <w:rsid w:val="000C05C0"/>
    <w:rsid w:val="000C21D0"/>
    <w:rsid w:val="000C57B9"/>
    <w:rsid w:val="000D176F"/>
    <w:rsid w:val="000D25E8"/>
    <w:rsid w:val="000D38DC"/>
    <w:rsid w:val="000E2283"/>
    <w:rsid w:val="000E29D8"/>
    <w:rsid w:val="000E7524"/>
    <w:rsid w:val="000F259D"/>
    <w:rsid w:val="000F6CCA"/>
    <w:rsid w:val="0010303E"/>
    <w:rsid w:val="0011327D"/>
    <w:rsid w:val="001139B2"/>
    <w:rsid w:val="00114145"/>
    <w:rsid w:val="0011588C"/>
    <w:rsid w:val="00116DA6"/>
    <w:rsid w:val="001279BC"/>
    <w:rsid w:val="00134C07"/>
    <w:rsid w:val="001356D6"/>
    <w:rsid w:val="00137E15"/>
    <w:rsid w:val="001417A8"/>
    <w:rsid w:val="00153793"/>
    <w:rsid w:val="00162B42"/>
    <w:rsid w:val="00164A98"/>
    <w:rsid w:val="00172743"/>
    <w:rsid w:val="00175301"/>
    <w:rsid w:val="00184E81"/>
    <w:rsid w:val="001901AC"/>
    <w:rsid w:val="00196027"/>
    <w:rsid w:val="001A5A68"/>
    <w:rsid w:val="001A6212"/>
    <w:rsid w:val="001A75E0"/>
    <w:rsid w:val="001B2705"/>
    <w:rsid w:val="001B7305"/>
    <w:rsid w:val="001B731B"/>
    <w:rsid w:val="001C4ACE"/>
    <w:rsid w:val="001C699C"/>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1C6C"/>
    <w:rsid w:val="002F2F26"/>
    <w:rsid w:val="002F4C25"/>
    <w:rsid w:val="00300129"/>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594"/>
    <w:rsid w:val="003727DB"/>
    <w:rsid w:val="00385177"/>
    <w:rsid w:val="00386642"/>
    <w:rsid w:val="00392176"/>
    <w:rsid w:val="003921D6"/>
    <w:rsid w:val="00397058"/>
    <w:rsid w:val="003A0594"/>
    <w:rsid w:val="003A298A"/>
    <w:rsid w:val="003A2CF2"/>
    <w:rsid w:val="003A3F9A"/>
    <w:rsid w:val="003A553B"/>
    <w:rsid w:val="003A566A"/>
    <w:rsid w:val="003B1EC9"/>
    <w:rsid w:val="003B2F05"/>
    <w:rsid w:val="003B5456"/>
    <w:rsid w:val="003C2392"/>
    <w:rsid w:val="003C2E75"/>
    <w:rsid w:val="003C3250"/>
    <w:rsid w:val="003E02B9"/>
    <w:rsid w:val="003E1304"/>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4D73"/>
    <w:rsid w:val="004A5ABE"/>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1874"/>
    <w:rsid w:val="00512838"/>
    <w:rsid w:val="005131F9"/>
    <w:rsid w:val="0051424F"/>
    <w:rsid w:val="00523623"/>
    <w:rsid w:val="005249A6"/>
    <w:rsid w:val="005264EA"/>
    <w:rsid w:val="005300F0"/>
    <w:rsid w:val="005363F5"/>
    <w:rsid w:val="00541819"/>
    <w:rsid w:val="0054560C"/>
    <w:rsid w:val="00545FD3"/>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A0577"/>
    <w:rsid w:val="005A18B4"/>
    <w:rsid w:val="005A60B4"/>
    <w:rsid w:val="005B47BD"/>
    <w:rsid w:val="005B69C2"/>
    <w:rsid w:val="005B6FA6"/>
    <w:rsid w:val="005C55D3"/>
    <w:rsid w:val="005D2C51"/>
    <w:rsid w:val="005D4F9E"/>
    <w:rsid w:val="005E5DCB"/>
    <w:rsid w:val="005F21BF"/>
    <w:rsid w:val="005F613D"/>
    <w:rsid w:val="005F705D"/>
    <w:rsid w:val="00600F57"/>
    <w:rsid w:val="00603015"/>
    <w:rsid w:val="00604F3E"/>
    <w:rsid w:val="0060603E"/>
    <w:rsid w:val="00613926"/>
    <w:rsid w:val="00621955"/>
    <w:rsid w:val="00632789"/>
    <w:rsid w:val="00633934"/>
    <w:rsid w:val="00634707"/>
    <w:rsid w:val="00636F9E"/>
    <w:rsid w:val="006439F2"/>
    <w:rsid w:val="00644034"/>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2D2E"/>
    <w:rsid w:val="006A48D3"/>
    <w:rsid w:val="006B67B9"/>
    <w:rsid w:val="006B6C31"/>
    <w:rsid w:val="006C0BAC"/>
    <w:rsid w:val="006C452E"/>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3642"/>
    <w:rsid w:val="0075622F"/>
    <w:rsid w:val="0075669D"/>
    <w:rsid w:val="00757EA9"/>
    <w:rsid w:val="0076067D"/>
    <w:rsid w:val="00773B29"/>
    <w:rsid w:val="00782CDC"/>
    <w:rsid w:val="007839F9"/>
    <w:rsid w:val="00784079"/>
    <w:rsid w:val="00784132"/>
    <w:rsid w:val="00786229"/>
    <w:rsid w:val="0078708D"/>
    <w:rsid w:val="00787145"/>
    <w:rsid w:val="00791D57"/>
    <w:rsid w:val="007A0744"/>
    <w:rsid w:val="007A2765"/>
    <w:rsid w:val="007A65F1"/>
    <w:rsid w:val="007B13E5"/>
    <w:rsid w:val="007B2F6B"/>
    <w:rsid w:val="007B473A"/>
    <w:rsid w:val="007B6F7C"/>
    <w:rsid w:val="007C2993"/>
    <w:rsid w:val="007C4B85"/>
    <w:rsid w:val="007C6338"/>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7543D"/>
    <w:rsid w:val="00882DEE"/>
    <w:rsid w:val="00885004"/>
    <w:rsid w:val="00886940"/>
    <w:rsid w:val="00886B7B"/>
    <w:rsid w:val="00887AB4"/>
    <w:rsid w:val="00894290"/>
    <w:rsid w:val="008A25A1"/>
    <w:rsid w:val="008A3ABF"/>
    <w:rsid w:val="008A4A8B"/>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1DB2"/>
    <w:rsid w:val="0097292F"/>
    <w:rsid w:val="009741D9"/>
    <w:rsid w:val="009750CC"/>
    <w:rsid w:val="00980746"/>
    <w:rsid w:val="00982CA4"/>
    <w:rsid w:val="00984235"/>
    <w:rsid w:val="00992432"/>
    <w:rsid w:val="00993D92"/>
    <w:rsid w:val="00995D90"/>
    <w:rsid w:val="009967BA"/>
    <w:rsid w:val="00997E4E"/>
    <w:rsid w:val="009A4D63"/>
    <w:rsid w:val="009A54FC"/>
    <w:rsid w:val="009B08C5"/>
    <w:rsid w:val="009B52C0"/>
    <w:rsid w:val="009B75E8"/>
    <w:rsid w:val="009C2167"/>
    <w:rsid w:val="009C21C2"/>
    <w:rsid w:val="009C4F8A"/>
    <w:rsid w:val="009D46C1"/>
    <w:rsid w:val="009D7145"/>
    <w:rsid w:val="009E0D02"/>
    <w:rsid w:val="009E4418"/>
    <w:rsid w:val="009E5838"/>
    <w:rsid w:val="00A0235E"/>
    <w:rsid w:val="00A02A54"/>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CF7"/>
    <w:rsid w:val="00A672BA"/>
    <w:rsid w:val="00A72B33"/>
    <w:rsid w:val="00A821EA"/>
    <w:rsid w:val="00A8721E"/>
    <w:rsid w:val="00A92495"/>
    <w:rsid w:val="00AA12B3"/>
    <w:rsid w:val="00AA2AE1"/>
    <w:rsid w:val="00AA5160"/>
    <w:rsid w:val="00AA5899"/>
    <w:rsid w:val="00AB0589"/>
    <w:rsid w:val="00AB75A3"/>
    <w:rsid w:val="00AB7FC6"/>
    <w:rsid w:val="00AC05AE"/>
    <w:rsid w:val="00AD0F30"/>
    <w:rsid w:val="00AD115D"/>
    <w:rsid w:val="00AD16AE"/>
    <w:rsid w:val="00AD6C53"/>
    <w:rsid w:val="00AE72F4"/>
    <w:rsid w:val="00AE7B02"/>
    <w:rsid w:val="00AE7CA4"/>
    <w:rsid w:val="00AF0A4B"/>
    <w:rsid w:val="00AF3BF2"/>
    <w:rsid w:val="00AF4BBC"/>
    <w:rsid w:val="00AF5875"/>
    <w:rsid w:val="00AF65DE"/>
    <w:rsid w:val="00AF733C"/>
    <w:rsid w:val="00B00828"/>
    <w:rsid w:val="00B01529"/>
    <w:rsid w:val="00B04278"/>
    <w:rsid w:val="00B12672"/>
    <w:rsid w:val="00B17406"/>
    <w:rsid w:val="00B21299"/>
    <w:rsid w:val="00B2434D"/>
    <w:rsid w:val="00B24D29"/>
    <w:rsid w:val="00B32216"/>
    <w:rsid w:val="00B34716"/>
    <w:rsid w:val="00B3707E"/>
    <w:rsid w:val="00B40DE1"/>
    <w:rsid w:val="00B50666"/>
    <w:rsid w:val="00B558D7"/>
    <w:rsid w:val="00B55FA2"/>
    <w:rsid w:val="00B61A13"/>
    <w:rsid w:val="00B6232D"/>
    <w:rsid w:val="00B648CA"/>
    <w:rsid w:val="00B714C9"/>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283A"/>
    <w:rsid w:val="00C534CA"/>
    <w:rsid w:val="00C55D8F"/>
    <w:rsid w:val="00C63006"/>
    <w:rsid w:val="00C67568"/>
    <w:rsid w:val="00C7007B"/>
    <w:rsid w:val="00C71871"/>
    <w:rsid w:val="00C724F1"/>
    <w:rsid w:val="00C735F1"/>
    <w:rsid w:val="00C913B6"/>
    <w:rsid w:val="00C91C5E"/>
    <w:rsid w:val="00C92359"/>
    <w:rsid w:val="00C92E44"/>
    <w:rsid w:val="00CA6EA3"/>
    <w:rsid w:val="00CB15A7"/>
    <w:rsid w:val="00CB6D97"/>
    <w:rsid w:val="00CC09CE"/>
    <w:rsid w:val="00CD0E88"/>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5659"/>
    <w:rsid w:val="00DC70D0"/>
    <w:rsid w:val="00DC7DD6"/>
    <w:rsid w:val="00DD3421"/>
    <w:rsid w:val="00DD3971"/>
    <w:rsid w:val="00DD663E"/>
    <w:rsid w:val="00DE2A3F"/>
    <w:rsid w:val="00DF5F45"/>
    <w:rsid w:val="00E03E65"/>
    <w:rsid w:val="00E06B55"/>
    <w:rsid w:val="00E07AD0"/>
    <w:rsid w:val="00E13146"/>
    <w:rsid w:val="00E16C01"/>
    <w:rsid w:val="00E174FC"/>
    <w:rsid w:val="00E20070"/>
    <w:rsid w:val="00E20994"/>
    <w:rsid w:val="00E22124"/>
    <w:rsid w:val="00E261AD"/>
    <w:rsid w:val="00E324C0"/>
    <w:rsid w:val="00E40344"/>
    <w:rsid w:val="00E40E4D"/>
    <w:rsid w:val="00E4377A"/>
    <w:rsid w:val="00E46D61"/>
    <w:rsid w:val="00E54061"/>
    <w:rsid w:val="00E545F2"/>
    <w:rsid w:val="00E54CC6"/>
    <w:rsid w:val="00E56C7E"/>
    <w:rsid w:val="00E576BD"/>
    <w:rsid w:val="00E57BE9"/>
    <w:rsid w:val="00E604D6"/>
    <w:rsid w:val="00E67086"/>
    <w:rsid w:val="00E70DD5"/>
    <w:rsid w:val="00E857E4"/>
    <w:rsid w:val="00E85B05"/>
    <w:rsid w:val="00E9139D"/>
    <w:rsid w:val="00E92487"/>
    <w:rsid w:val="00E92812"/>
    <w:rsid w:val="00EA17FF"/>
    <w:rsid w:val="00EA26E5"/>
    <w:rsid w:val="00EA3B02"/>
    <w:rsid w:val="00EA524D"/>
    <w:rsid w:val="00EA5A59"/>
    <w:rsid w:val="00EA6213"/>
    <w:rsid w:val="00EB055B"/>
    <w:rsid w:val="00EB0C39"/>
    <w:rsid w:val="00EB3301"/>
    <w:rsid w:val="00EB588F"/>
    <w:rsid w:val="00EE2068"/>
    <w:rsid w:val="00EE4A18"/>
    <w:rsid w:val="00EF1F69"/>
    <w:rsid w:val="00EF61D1"/>
    <w:rsid w:val="00F05333"/>
    <w:rsid w:val="00F1311C"/>
    <w:rsid w:val="00F13A40"/>
    <w:rsid w:val="00F154D0"/>
    <w:rsid w:val="00F20DFF"/>
    <w:rsid w:val="00F246F5"/>
    <w:rsid w:val="00F261D6"/>
    <w:rsid w:val="00F26D45"/>
    <w:rsid w:val="00F30C84"/>
    <w:rsid w:val="00F3161F"/>
    <w:rsid w:val="00F35704"/>
    <w:rsid w:val="00F35911"/>
    <w:rsid w:val="00F35DD7"/>
    <w:rsid w:val="00F42D43"/>
    <w:rsid w:val="00F463C9"/>
    <w:rsid w:val="00F53ECE"/>
    <w:rsid w:val="00F57965"/>
    <w:rsid w:val="00F62702"/>
    <w:rsid w:val="00F62C88"/>
    <w:rsid w:val="00F71810"/>
    <w:rsid w:val="00F72ABE"/>
    <w:rsid w:val="00F72B1B"/>
    <w:rsid w:val="00F73933"/>
    <w:rsid w:val="00F7596C"/>
    <w:rsid w:val="00F75F2B"/>
    <w:rsid w:val="00F76733"/>
    <w:rsid w:val="00F76A86"/>
    <w:rsid w:val="00F77E12"/>
    <w:rsid w:val="00F814DE"/>
    <w:rsid w:val="00F82906"/>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ovlan\Dropbox\3GPP\RAN%203\RAN3_104%20Reno\Inbox\R3-19206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A56E7-5E4A-442E-8646-858D5761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3</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8521</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23</cp:revision>
  <cp:lastPrinted>2018-09-28T20:14:00Z</cp:lastPrinted>
  <dcterms:created xsi:type="dcterms:W3CDTF">2019-08-07T18:25:00Z</dcterms:created>
  <dcterms:modified xsi:type="dcterms:W3CDTF">2019-08-16T17:00:00Z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